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1" w:rsidRDefault="00FC6F41">
      <w:pPr>
        <w:pStyle w:val="aa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bCs w:val="0"/>
          <w:sz w:val="32"/>
          <w:szCs w:val="32"/>
        </w:rPr>
        <w:t>Техническа спецификация</w:t>
      </w:r>
    </w:p>
    <w:p w:rsidR="00FC6F41" w:rsidRDefault="00FC6F41">
      <w:pPr>
        <w:ind w:firstLine="1276"/>
        <w:jc w:val="both"/>
        <w:rPr>
          <w:rFonts w:ascii="A4p" w:hAnsi="A4p" w:cs="A4p"/>
          <w:sz w:val="22"/>
          <w:szCs w:val="22"/>
          <w:lang w:val="bg-BG"/>
        </w:rPr>
      </w:pPr>
    </w:p>
    <w:p w:rsidR="00FC6F41" w:rsidRDefault="00FC6F41">
      <w:pPr>
        <w:ind w:firstLine="1276"/>
        <w:rPr>
          <w:rFonts w:ascii="A4p" w:hAnsi="A4p" w:cs="A4p"/>
          <w:b/>
          <w:bCs/>
          <w:sz w:val="22"/>
          <w:szCs w:val="22"/>
          <w:lang w:val="bg-BG"/>
        </w:rPr>
      </w:pPr>
    </w:p>
    <w:p w:rsidR="00FC6F41" w:rsidRDefault="00FC6F41">
      <w:p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A4p" w:hAnsi="A4p" w:cs="A4p"/>
          <w:b/>
          <w:bCs/>
          <w:caps/>
          <w:sz w:val="28"/>
          <w:szCs w:val="28"/>
          <w:lang w:val="bg-BG"/>
        </w:rPr>
        <w:t>ОБЕКТ</w:t>
      </w:r>
      <w:r>
        <w:rPr>
          <w:rFonts w:ascii="A4p" w:hAnsi="A4p" w:cs="A4p"/>
          <w:sz w:val="28"/>
          <w:szCs w:val="28"/>
          <w:lang w:val="bg-BG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"Изграждане на нов корпус(Блок №2 с басейн) към  ОДЗ №5 в кв."Тева",гр.Перник"</w:t>
      </w:r>
    </w:p>
    <w:p w:rsidR="00FC6F41" w:rsidRDefault="00FC6F41">
      <w:pPr>
        <w:spacing w:line="252" w:lineRule="auto"/>
        <w:rPr>
          <w:rFonts w:ascii="A4p" w:hAnsi="A4p" w:cs="A4p"/>
          <w:color w:val="00030F"/>
          <w:sz w:val="28"/>
          <w:szCs w:val="28"/>
          <w:lang w:val="bg-BG"/>
        </w:rPr>
      </w:pPr>
    </w:p>
    <w:p w:rsidR="00FC6F41" w:rsidRDefault="00FC6F41">
      <w:pPr>
        <w:rPr>
          <w:rFonts w:ascii="Arial Narrow" w:hAnsi="Arial Narrow" w:cs="Arial Narrow"/>
          <w:sz w:val="28"/>
          <w:szCs w:val="28"/>
          <w:lang w:val="bg-BG"/>
        </w:rPr>
      </w:pPr>
      <w:r>
        <w:rPr>
          <w:rFonts w:ascii="A4p" w:hAnsi="A4p" w:cs="A4p"/>
          <w:color w:val="00030F"/>
          <w:sz w:val="28"/>
          <w:szCs w:val="28"/>
          <w:lang w:val="bg-BG"/>
        </w:rPr>
        <w:tab/>
      </w:r>
      <w:r>
        <w:rPr>
          <w:rFonts w:ascii="A4p" w:hAnsi="A4p" w:cs="A4p"/>
          <w:b/>
          <w:bCs/>
          <w:sz w:val="24"/>
          <w:szCs w:val="24"/>
          <w:lang w:val="bg-BG"/>
        </w:rPr>
        <w:t xml:space="preserve">   </w:t>
      </w:r>
      <w:r>
        <w:rPr>
          <w:rFonts w:ascii="A4p" w:hAnsi="A4p" w:cs="A4p"/>
          <w:b/>
          <w:bCs/>
          <w:caps/>
          <w:sz w:val="28"/>
          <w:szCs w:val="28"/>
          <w:lang w:val="bg-BG"/>
        </w:rPr>
        <w:t>Фаза</w:t>
      </w:r>
      <w:r>
        <w:rPr>
          <w:rFonts w:ascii="A4p" w:hAnsi="A4p" w:cs="A4p"/>
          <w:sz w:val="28"/>
          <w:szCs w:val="28"/>
          <w:lang w:val="bg-BG"/>
        </w:rPr>
        <w:t xml:space="preserve"> :    </w:t>
      </w:r>
      <w:r>
        <w:rPr>
          <w:rFonts w:ascii="Arial Narrow" w:hAnsi="Arial Narrow" w:cs="Arial Narrow"/>
          <w:sz w:val="28"/>
          <w:szCs w:val="28"/>
          <w:lang w:val="bg-BG"/>
        </w:rPr>
        <w:t>ТЕХНИЧЕСКИ  ПРОЕКТ</w:t>
      </w:r>
    </w:p>
    <w:p w:rsidR="00FC6F41" w:rsidRDefault="00FC6F41">
      <w:pPr>
        <w:rPr>
          <w:rFonts w:ascii="Arial Narrow" w:hAnsi="Arial Narrow" w:cs="Arial Narrow"/>
          <w:sz w:val="24"/>
          <w:szCs w:val="24"/>
          <w:lang w:val="bg-BG"/>
        </w:rPr>
      </w:pPr>
      <w:r>
        <w:rPr>
          <w:rFonts w:ascii="Arial Narrow" w:hAnsi="Arial Narrow" w:cs="Arial Narrow"/>
          <w:sz w:val="24"/>
          <w:szCs w:val="24"/>
          <w:lang w:val="bg-BG"/>
        </w:rPr>
        <w:t xml:space="preserve"> </w:t>
      </w:r>
    </w:p>
    <w:p w:rsidR="00FC6F41" w:rsidRDefault="00FC6F41">
      <w:pPr>
        <w:rPr>
          <w:rFonts w:ascii="A4p" w:hAnsi="A4p" w:cs="A4p"/>
          <w:sz w:val="28"/>
          <w:szCs w:val="28"/>
          <w:lang w:val="bg-BG"/>
        </w:rPr>
      </w:pPr>
      <w:r>
        <w:rPr>
          <w:rFonts w:ascii="A4p" w:hAnsi="A4p" w:cs="A4p"/>
          <w:b/>
          <w:bCs/>
          <w:sz w:val="22"/>
          <w:szCs w:val="22"/>
          <w:lang w:val="bg-BG"/>
        </w:rPr>
        <w:t xml:space="preserve">                </w:t>
      </w:r>
      <w:r>
        <w:rPr>
          <w:rFonts w:ascii="A4p" w:hAnsi="A4p" w:cs="A4p"/>
          <w:b/>
          <w:bCs/>
          <w:caps/>
          <w:sz w:val="28"/>
          <w:szCs w:val="28"/>
          <w:lang w:val="bg-BG"/>
        </w:rPr>
        <w:t>Част</w:t>
      </w:r>
      <w:r>
        <w:rPr>
          <w:rFonts w:ascii="A4p" w:hAnsi="A4p" w:cs="A4p"/>
          <w:sz w:val="28"/>
          <w:szCs w:val="28"/>
          <w:lang w:val="bg-BG"/>
        </w:rPr>
        <w:t xml:space="preserve"> </w:t>
      </w:r>
      <w:r>
        <w:rPr>
          <w:rFonts w:ascii="A4p" w:hAnsi="A4p" w:cs="A4p"/>
          <w:b/>
          <w:bCs/>
          <w:sz w:val="28"/>
          <w:szCs w:val="28"/>
          <w:lang w:val="bg-BG"/>
        </w:rPr>
        <w:t xml:space="preserve">:   </w:t>
      </w:r>
      <w:r>
        <w:rPr>
          <w:rFonts w:ascii="Arial Narrow" w:hAnsi="Arial Narrow" w:cs="Arial Narrow"/>
          <w:sz w:val="28"/>
          <w:szCs w:val="28"/>
          <w:lang w:val="bg-BG"/>
        </w:rPr>
        <w:t>АРХИТЕКТУРНA</w:t>
      </w:r>
    </w:p>
    <w:p w:rsidR="00FC6F41" w:rsidRDefault="00FC6F41">
      <w:pPr>
        <w:ind w:firstLine="1276"/>
        <w:rPr>
          <w:rFonts w:ascii="A4p" w:hAnsi="A4p" w:cs="A4p"/>
          <w:sz w:val="24"/>
          <w:szCs w:val="24"/>
          <w:lang w:val="bg-BG"/>
        </w:rPr>
      </w:pPr>
    </w:p>
    <w:p w:rsidR="00FC6F41" w:rsidRDefault="00FC6F41">
      <w:pPr>
        <w:ind w:firstLine="1276"/>
        <w:rPr>
          <w:rFonts w:ascii="A4p" w:hAnsi="A4p" w:cs="A4p"/>
          <w:sz w:val="22"/>
          <w:szCs w:val="22"/>
          <w:lang w:val="bg-BG"/>
        </w:rPr>
      </w:pPr>
    </w:p>
    <w:p w:rsidR="00FC6F41" w:rsidRDefault="00FC6F41">
      <w:pPr>
        <w:spacing w:line="360" w:lineRule="auto"/>
        <w:ind w:firstLine="851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При точно спазване на указанията във визата, в  съответствие с предвижданията на действащия ПУП за застрояване на УПИ XI, кв.193  по плана на ж.к.”Тева”, гр.Перник са отчетени и извършени проучвания, относно възможността да се проектира нов блок за 2 градински и 2 яслена групи  с  максимална височина на застройката  до 2 етажа.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 В съответствие със заданието на Възложителя, проектът е представен с разработените документална и графична част.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Графичната архитектурна част /ситуация,  сутерен,</w:t>
      </w:r>
      <w:r>
        <w:rPr>
          <w:rFonts w:ascii="A4p" w:hAnsi="A4p" w:cs="A4p"/>
          <w:sz w:val="22"/>
          <w:szCs w:val="22"/>
          <w:lang w:val="en-US"/>
        </w:rPr>
        <w:t xml:space="preserve"> </w:t>
      </w:r>
      <w:r>
        <w:rPr>
          <w:rFonts w:ascii="A4p" w:hAnsi="A4p" w:cs="A4p"/>
          <w:sz w:val="22"/>
          <w:szCs w:val="22"/>
          <w:lang w:val="bg-BG"/>
        </w:rPr>
        <w:t xml:space="preserve">1 и 2 етаж, план покриви, надлъжни и напречни  разрези и фасади/, изяснява в необходимите подробности проектираната  сграда  с нейните   градоустройствени и функционални параметри.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Теренът предвиден за застрояване  е  с  денивелация  в посока североизток-югозапад, като в южната си част преминава в стръмен. Блокът е  ситуиран в източната част на УПИ. Той е съставен  от  две градински и две  яслени групи, с прилежащите му обслужващи помещения, методичен кабинет, зала за компютри и детски басейн, с всички необходими обслужващи го помещения. Подходът  към главния вход е ориентиран от север , като към него има предвидена  рампа  за достъп на инвалиди.  Сградата е решена при оптимално запазване на удобна връзка със съществуващия терен, с подчертано предимство на пространственото въздействие и архитектурни елементи.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Функционалното решение на сградата  предвижда разделянето и  на три нива.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В частичния сутерен се намират басейн със съпътстващите го съблекалня, wc, душовo и филтурно помещения; залата  за компютърно обучение със склад към нея, стая за треньори, стълбище и коридори, машинно за асансьора и складове.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На партерно ниво непосредствено след гл. вход следват асансьор, физкултурно-музикален салон, модули  за две  яслени  групи, към които са предвидени тераси.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В следващия етаж са двете градинските групи, а в зоната над физкултурния салон се намират методически кабинет, стая за персонала и медицински кабинет, към които е предвидена обща тераса.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Външните стени ще бъдат изпълнени от тухла. Разликата от 4 см. между дебелината на ст.бет. конструкция и  външните зидове ще се компенсира от гипсокартон на собствена носеща конструкция.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lastRenderedPageBreak/>
        <w:t xml:space="preserve">Покривът е плосък и ще  се обработи с надеждна хидроизолация върху ефективна топлоизолация /по одобрен от проектанта детайл, със сертификат за високи експлоатационни качества/. Отвеждането на повърхностните води ще бъде включено в общи отводнителни мрежи около сградата. Използваемите тераси  ще се покрият с гранитогрес за външни условия на експлоатация.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Предвидените настилки от плочи /по детайл/, цветни лехи, трайна зеленина и други за оформяне на околното пространство да се съгласуват с проектанта.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Сградите ще се изпълнят от монолитна ст. бетонна конструкция. Предвидени са необходимите противоземетръсни елементи.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За всички помещения , които са без естествена вентилация са предвидени отвори с решетки 30/60см. в горната и долна част на вратите им.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ab/>
      </w:r>
    </w:p>
    <w:p w:rsidR="00FC6F41" w:rsidRDefault="00FC6F41">
      <w:pPr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   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</w:t>
      </w:r>
      <w:r>
        <w:rPr>
          <w:rFonts w:ascii="A4p" w:hAnsi="A4p" w:cs="A4p"/>
          <w:b/>
          <w:bCs/>
          <w:sz w:val="24"/>
          <w:szCs w:val="24"/>
          <w:lang w:val="bg-BG"/>
        </w:rPr>
        <w:t>Обектът има следните технико-икономически показатели</w:t>
      </w:r>
      <w:r>
        <w:rPr>
          <w:rFonts w:ascii="A4p" w:hAnsi="A4p" w:cs="A4p"/>
          <w:sz w:val="22"/>
          <w:szCs w:val="22"/>
          <w:lang w:val="bg-BG"/>
        </w:rPr>
        <w:t xml:space="preserve"> :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    К</w:t>
      </w:r>
      <w:r>
        <w:rPr>
          <w:rFonts w:ascii="A4p" w:hAnsi="A4p" w:cs="A4p"/>
          <w:sz w:val="22"/>
          <w:szCs w:val="22"/>
          <w:vertAlign w:val="subscript"/>
          <w:lang w:val="bg-BG"/>
        </w:rPr>
        <w:t>пл.</w:t>
      </w:r>
      <w:r>
        <w:rPr>
          <w:rFonts w:ascii="A4p" w:hAnsi="A4p" w:cs="A4p"/>
          <w:sz w:val="22"/>
          <w:szCs w:val="22"/>
          <w:lang w:val="bg-BG"/>
        </w:rPr>
        <w:t xml:space="preserve"> = 23,2 % общо за двете сгради ( от които 11 %  e  за блок N2 )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К</w:t>
      </w:r>
      <w:r>
        <w:rPr>
          <w:rFonts w:ascii="A4p" w:hAnsi="A4p" w:cs="A4p"/>
          <w:sz w:val="22"/>
          <w:szCs w:val="22"/>
          <w:vertAlign w:val="subscript"/>
          <w:lang w:val="bg-BG"/>
        </w:rPr>
        <w:t>инт.</w:t>
      </w:r>
      <w:r>
        <w:rPr>
          <w:rFonts w:ascii="A4p" w:hAnsi="A4p" w:cs="A4p"/>
          <w:sz w:val="22"/>
          <w:szCs w:val="22"/>
          <w:lang w:val="bg-BG"/>
        </w:rPr>
        <w:t xml:space="preserve"> =0,47  общо за двете сгради  ( от които  0,22 е за блок N2)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К</w:t>
      </w:r>
      <w:r>
        <w:rPr>
          <w:rFonts w:ascii="A4p" w:hAnsi="A4p" w:cs="A4p"/>
          <w:sz w:val="22"/>
          <w:szCs w:val="22"/>
          <w:vertAlign w:val="subscript"/>
          <w:lang w:val="bg-BG"/>
        </w:rPr>
        <w:t xml:space="preserve">озел. </w:t>
      </w:r>
      <w:r>
        <w:rPr>
          <w:rFonts w:ascii="A4p" w:hAnsi="A4p" w:cs="A4p"/>
          <w:sz w:val="22"/>
          <w:szCs w:val="22"/>
          <w:lang w:val="bg-BG"/>
        </w:rPr>
        <w:t>– 60%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Н - до кота корниз &lt; 10 м. 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Застроена площ  = 581 кв.м.</w:t>
      </w:r>
    </w:p>
    <w:p w:rsidR="00FC6F41" w:rsidRDefault="00FC6F41">
      <w:pPr>
        <w:spacing w:line="360" w:lineRule="auto"/>
        <w:ind w:firstLine="720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>Разгърната застроена площ  ( за К</w:t>
      </w:r>
      <w:r>
        <w:rPr>
          <w:rFonts w:ascii="A4p" w:hAnsi="A4p" w:cs="A4p"/>
          <w:sz w:val="22"/>
          <w:szCs w:val="22"/>
          <w:vertAlign w:val="subscript"/>
          <w:lang w:val="bg-BG"/>
        </w:rPr>
        <w:t>инт.</w:t>
      </w:r>
      <w:r>
        <w:rPr>
          <w:rFonts w:ascii="A4p" w:hAnsi="A4p" w:cs="A4p"/>
          <w:sz w:val="22"/>
          <w:szCs w:val="22"/>
          <w:lang w:val="bg-BG"/>
        </w:rPr>
        <w:t xml:space="preserve">) = 1175 кв.м          </w:t>
      </w:r>
    </w:p>
    <w:p w:rsidR="00FC6F41" w:rsidRDefault="00FC6F41">
      <w:pPr>
        <w:spacing w:line="360" w:lineRule="auto"/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    Площ на УПИ XI – 8193,9 кв.м.</w:t>
      </w:r>
    </w:p>
    <w:p w:rsidR="00FC6F41" w:rsidRDefault="00FC6F41">
      <w:pPr>
        <w:jc w:val="both"/>
        <w:rPr>
          <w:rFonts w:ascii="A4p" w:hAnsi="A4p" w:cs="A4p"/>
          <w:sz w:val="22"/>
          <w:szCs w:val="22"/>
          <w:lang w:val="bg-BG"/>
        </w:rPr>
      </w:pPr>
      <w:r>
        <w:rPr>
          <w:rFonts w:ascii="A4p" w:hAnsi="A4p" w:cs="A4p"/>
          <w:sz w:val="22"/>
          <w:szCs w:val="22"/>
          <w:lang w:val="bg-BG"/>
        </w:rPr>
        <w:t xml:space="preserve">            Площ на парцела </w:t>
      </w:r>
      <w:r>
        <w:rPr>
          <w:rFonts w:ascii="A4p" w:hAnsi="A4p" w:cs="A4p"/>
          <w:sz w:val="16"/>
          <w:szCs w:val="16"/>
          <w:lang w:val="bg-BG"/>
        </w:rPr>
        <w:t>(има се предвид част от площа на УПИ XI  затворена с огарадата)</w:t>
      </w:r>
      <w:r>
        <w:rPr>
          <w:rFonts w:ascii="A4p" w:hAnsi="A4p" w:cs="A4p"/>
          <w:sz w:val="22"/>
          <w:szCs w:val="22"/>
          <w:lang w:val="bg-BG"/>
        </w:rPr>
        <w:t xml:space="preserve"> =  5284кв.м.  </w:t>
      </w:r>
    </w:p>
    <w:p w:rsidR="00FC6F41" w:rsidRDefault="00FC6F41">
      <w:pPr>
        <w:jc w:val="both"/>
        <w:rPr>
          <w:rFonts w:ascii="A4p" w:hAnsi="A4p" w:cs="A4p"/>
          <w:sz w:val="22"/>
          <w:szCs w:val="22"/>
          <w:lang w:val="bg-BG"/>
        </w:rPr>
      </w:pPr>
    </w:p>
    <w:p w:rsidR="00FC6F41" w:rsidRDefault="00FC6F41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sectPr w:rsidR="00FC6F41">
      <w:headerReference w:type="default" r:id="rId8"/>
      <w:pgSz w:w="11907" w:h="16840" w:code="9"/>
      <w:pgMar w:top="1296" w:right="850" w:bottom="864" w:left="1253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DA" w:rsidRDefault="007C07DA">
      <w:r>
        <w:separator/>
      </w:r>
    </w:p>
  </w:endnote>
  <w:endnote w:type="continuationSeparator" w:id="0">
    <w:p w:rsidR="007C07DA" w:rsidRDefault="007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DA" w:rsidRDefault="007C07DA">
      <w:r>
        <w:separator/>
      </w:r>
    </w:p>
  </w:footnote>
  <w:footnote w:type="continuationSeparator" w:id="0">
    <w:p w:rsidR="007C07DA" w:rsidRDefault="007C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41" w:rsidRDefault="00FC6F41">
    <w:pPr>
      <w:pStyle w:val="a5"/>
      <w:framePr w:wrap="auto" w:vAnchor="text" w:hAnchor="margin" w:xAlign="right" w:y="1"/>
      <w:rPr>
        <w:rStyle w:val="a9"/>
        <w:rFonts w:ascii="Tms Rmn" w:hAnsi="Tms Rmn" w:cs="Tms Rmn"/>
      </w:rPr>
    </w:pPr>
    <w:r>
      <w:rPr>
        <w:rStyle w:val="a9"/>
        <w:rFonts w:ascii="Tms Rmn" w:hAnsi="Tms Rmn" w:cs="Tms Rmn"/>
      </w:rPr>
      <w:fldChar w:fldCharType="begin"/>
    </w:r>
    <w:r>
      <w:rPr>
        <w:rStyle w:val="a9"/>
        <w:rFonts w:ascii="Tms Rmn" w:hAnsi="Tms Rmn" w:cs="Tms Rmn"/>
      </w:rPr>
      <w:instrText xml:space="preserve">PAGE  </w:instrText>
    </w:r>
    <w:r>
      <w:rPr>
        <w:rStyle w:val="a9"/>
        <w:rFonts w:ascii="Tms Rmn" w:hAnsi="Tms Rmn" w:cs="Tms Rmn"/>
      </w:rPr>
      <w:fldChar w:fldCharType="separate"/>
    </w:r>
    <w:r w:rsidR="00563EC8">
      <w:rPr>
        <w:rStyle w:val="a9"/>
        <w:rFonts w:ascii="Tms Rmn" w:hAnsi="Tms Rmn" w:cs="Tms Rmn"/>
        <w:noProof/>
      </w:rPr>
      <w:t>1</w:t>
    </w:r>
    <w:r>
      <w:rPr>
        <w:rStyle w:val="a9"/>
        <w:rFonts w:ascii="Tms Rmn" w:hAnsi="Tms Rmn" w:cs="Tms Rmn"/>
      </w:rPr>
      <w:fldChar w:fldCharType="end"/>
    </w:r>
  </w:p>
  <w:p w:rsidR="00FC6F41" w:rsidRDefault="00FC6F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C2277E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68CB11CE"/>
    <w:multiLevelType w:val="hybridMultilevel"/>
    <w:tmpl w:val="6E7880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4"/>
    <w:rsid w:val="00563EC8"/>
    <w:rsid w:val="007C07DA"/>
    <w:rsid w:val="00E43984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ms Rmn" w:hAnsi="Tms Rmn" w:cs="Tms Rm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851"/>
      <w:jc w:val="both"/>
      <w:outlineLvl w:val="0"/>
    </w:pPr>
    <w:rPr>
      <w:rFonts w:ascii="A4p" w:hAnsi="A4p" w:cs="A4p"/>
      <w:b/>
      <w:bCs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720"/>
      <w:jc w:val="both"/>
      <w:outlineLvl w:val="1"/>
    </w:pPr>
    <w:rPr>
      <w:rFonts w:ascii="A4p" w:hAnsi="A4p" w:cs="A4p"/>
      <w:b/>
      <w:bCs/>
      <w:sz w:val="28"/>
      <w:szCs w:val="28"/>
      <w:u w:val="singl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4">
    <w:name w:val="План н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a0"/>
    <w:uiPriority w:val="99"/>
    <w:rPr>
      <w:rFonts w:ascii="Tahoma" w:hAnsi="Tahoma" w:cs="Tahoma"/>
      <w:sz w:val="16"/>
      <w:szCs w:val="16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locked/>
    <w:rPr>
      <w:rFonts w:ascii="Tms Rmn" w:hAnsi="Tms Rmn" w:cs="Tms Rmn"/>
      <w:sz w:val="20"/>
      <w:szCs w:val="20"/>
      <w:lang w:val="en-GB" w:eastAsia="en-US"/>
    </w:rPr>
  </w:style>
  <w:style w:type="character" w:customStyle="1" w:styleId="HeaderChar">
    <w:name w:val="Header Char"/>
    <w:basedOn w:val="a0"/>
    <w:uiPriority w:val="99"/>
    <w:rPr>
      <w:rFonts w:ascii="Tms Rmn" w:hAnsi="Tms Rmn" w:cs="Tms Rmn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locked/>
    <w:rPr>
      <w:rFonts w:ascii="Tms Rmn" w:hAnsi="Tms Rmn" w:cs="Tms Rmn"/>
      <w:sz w:val="20"/>
      <w:szCs w:val="20"/>
      <w:lang w:val="en-GB" w:eastAsia="en-US"/>
    </w:rPr>
  </w:style>
  <w:style w:type="character" w:customStyle="1" w:styleId="FooterChar">
    <w:name w:val="Footer Char"/>
    <w:basedOn w:val="a0"/>
    <w:uiPriority w:val="99"/>
    <w:rPr>
      <w:rFonts w:ascii="Tms Rmn" w:hAnsi="Tms Rmn" w:cs="Tms Rm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pPr>
      <w:autoSpaceDE/>
      <w:autoSpaceDN/>
      <w:adjustRightInd/>
      <w:ind w:firstLine="720"/>
      <w:jc w:val="both"/>
    </w:pPr>
    <w:rPr>
      <w:rFonts w:ascii="HebarU" w:hAnsi="HebarU" w:cs="HebarU"/>
      <w:sz w:val="22"/>
      <w:szCs w:val="22"/>
      <w:lang w:val="bg-BG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ascii="Tms Rmn" w:hAnsi="Tms Rmn" w:cs="Tms Rmn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a0"/>
    <w:uiPriority w:val="99"/>
    <w:rPr>
      <w:rFonts w:ascii="Tms Rmn" w:hAnsi="Tms Rmn" w:cs="Tms Rmn"/>
      <w:sz w:val="16"/>
      <w:szCs w:val="16"/>
      <w:lang w:val="en-GB" w:eastAsia="en-US"/>
    </w:rPr>
  </w:style>
  <w:style w:type="character" w:styleId="a9">
    <w:name w:val="page number"/>
    <w:basedOn w:val="a0"/>
    <w:uiPriority w:val="99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4p" w:hAnsi="A4p" w:cs="A4p"/>
      <w:b/>
      <w:bCs/>
      <w:sz w:val="28"/>
      <w:szCs w:val="28"/>
      <w:lang w:val="bg-BG"/>
    </w:rPr>
  </w:style>
  <w:style w:type="character" w:customStyle="1" w:styleId="ab">
    <w:name w:val="Заглав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a0"/>
    <w:uiPriority w:val="99"/>
    <w:rPr>
      <w:rFonts w:ascii="Cambria" w:hAnsi="Cambria" w:cs="Cambria"/>
      <w:b/>
      <w:bCs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ms Rmn" w:hAnsi="Tms Rmn" w:cs="Tms Rm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851"/>
      <w:jc w:val="both"/>
      <w:outlineLvl w:val="0"/>
    </w:pPr>
    <w:rPr>
      <w:rFonts w:ascii="A4p" w:hAnsi="A4p" w:cs="A4p"/>
      <w:b/>
      <w:bCs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720"/>
      <w:jc w:val="both"/>
      <w:outlineLvl w:val="1"/>
    </w:pPr>
    <w:rPr>
      <w:rFonts w:ascii="A4p" w:hAnsi="A4p" w:cs="A4p"/>
      <w:b/>
      <w:bCs/>
      <w:sz w:val="28"/>
      <w:szCs w:val="28"/>
      <w:u w:val="singl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4">
    <w:name w:val="План н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a0"/>
    <w:uiPriority w:val="99"/>
    <w:rPr>
      <w:rFonts w:ascii="Tahoma" w:hAnsi="Tahoma" w:cs="Tahoma"/>
      <w:sz w:val="16"/>
      <w:szCs w:val="16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locked/>
    <w:rPr>
      <w:rFonts w:ascii="Tms Rmn" w:hAnsi="Tms Rmn" w:cs="Tms Rmn"/>
      <w:sz w:val="20"/>
      <w:szCs w:val="20"/>
      <w:lang w:val="en-GB" w:eastAsia="en-US"/>
    </w:rPr>
  </w:style>
  <w:style w:type="character" w:customStyle="1" w:styleId="HeaderChar">
    <w:name w:val="Header Char"/>
    <w:basedOn w:val="a0"/>
    <w:uiPriority w:val="99"/>
    <w:rPr>
      <w:rFonts w:ascii="Tms Rmn" w:hAnsi="Tms Rmn" w:cs="Tms Rmn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locked/>
    <w:rPr>
      <w:rFonts w:ascii="Tms Rmn" w:hAnsi="Tms Rmn" w:cs="Tms Rmn"/>
      <w:sz w:val="20"/>
      <w:szCs w:val="20"/>
      <w:lang w:val="en-GB" w:eastAsia="en-US"/>
    </w:rPr>
  </w:style>
  <w:style w:type="character" w:customStyle="1" w:styleId="FooterChar">
    <w:name w:val="Footer Char"/>
    <w:basedOn w:val="a0"/>
    <w:uiPriority w:val="99"/>
    <w:rPr>
      <w:rFonts w:ascii="Tms Rmn" w:hAnsi="Tms Rmn" w:cs="Tms Rm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pPr>
      <w:autoSpaceDE/>
      <w:autoSpaceDN/>
      <w:adjustRightInd/>
      <w:ind w:firstLine="720"/>
      <w:jc w:val="both"/>
    </w:pPr>
    <w:rPr>
      <w:rFonts w:ascii="HebarU" w:hAnsi="HebarU" w:cs="HebarU"/>
      <w:sz w:val="22"/>
      <w:szCs w:val="22"/>
      <w:lang w:val="bg-BG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ascii="Tms Rmn" w:hAnsi="Tms Rmn" w:cs="Tms Rmn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a0"/>
    <w:uiPriority w:val="99"/>
    <w:rPr>
      <w:rFonts w:ascii="Tms Rmn" w:hAnsi="Tms Rmn" w:cs="Tms Rmn"/>
      <w:sz w:val="16"/>
      <w:szCs w:val="16"/>
      <w:lang w:val="en-GB" w:eastAsia="en-US"/>
    </w:rPr>
  </w:style>
  <w:style w:type="character" w:styleId="a9">
    <w:name w:val="page number"/>
    <w:basedOn w:val="a0"/>
    <w:uiPriority w:val="99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4p" w:hAnsi="A4p" w:cs="A4p"/>
      <w:b/>
      <w:bCs/>
      <w:sz w:val="28"/>
      <w:szCs w:val="28"/>
      <w:lang w:val="bg-BG"/>
    </w:rPr>
  </w:style>
  <w:style w:type="character" w:customStyle="1" w:styleId="ab">
    <w:name w:val="Заглав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a0"/>
    <w:uiPriority w:val="99"/>
    <w:rPr>
      <w:rFonts w:ascii="Cambria" w:hAnsi="Cambria" w:cs="Cambria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ÎÁßÑÍÈÒÅËÍÀ  ÇÀÏÈÑÊÀ</vt:lpstr>
    </vt:vector>
  </TitlesOfParts>
  <Company>gt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ÎÁßÑÍÈÒÅËÍÀ  ÇÀÏÈÑÊÀ</dc:title>
  <dc:creator>...</dc:creator>
  <cp:lastModifiedBy>User</cp:lastModifiedBy>
  <cp:revision>2</cp:revision>
  <cp:lastPrinted>2013-06-19T10:44:00Z</cp:lastPrinted>
  <dcterms:created xsi:type="dcterms:W3CDTF">2014-11-13T12:35:00Z</dcterms:created>
  <dcterms:modified xsi:type="dcterms:W3CDTF">2014-11-13T12:35:00Z</dcterms:modified>
</cp:coreProperties>
</file>